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9B00" w14:textId="10254E98" w:rsidR="00AD0DCE" w:rsidRPr="007E1B4A" w:rsidRDefault="008E7744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</w:rPr>
        <w:drawing>
          <wp:anchor distT="0" distB="0" distL="114300" distR="114300" simplePos="0" relativeHeight="251659264" behindDoc="0" locked="0" layoutInCell="1" allowOverlap="1" wp14:anchorId="22AD820E" wp14:editId="451C108E">
            <wp:simplePos x="0" y="0"/>
            <wp:positionH relativeFrom="column">
              <wp:posOffset>230505</wp:posOffset>
            </wp:positionH>
            <wp:positionV relativeFrom="paragraph">
              <wp:posOffset>-74295</wp:posOffset>
            </wp:positionV>
            <wp:extent cx="431275" cy="571500"/>
            <wp:effectExtent l="0" t="0" r="6985" b="0"/>
            <wp:wrapNone/>
            <wp:docPr id="1439009394" name="Slika 143900939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82" cy="57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8EA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</w:t>
      </w:r>
      <w:bookmarkStart w:id="0" w:name="_Hlk188425560"/>
      <w:r w:rsidR="00AD0DCE"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</w:t>
      </w:r>
    </w:p>
    <w:p w14:paraId="21A33B33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u w:val="single"/>
          <w:lang w:eastAsia="hr-HR"/>
        </w:rPr>
      </w:pPr>
    </w:p>
    <w:p w14:paraId="0E22D219" w14:textId="52E401C9" w:rsidR="00AD0DCE" w:rsidRPr="007E1B4A" w:rsidRDefault="00AD0DCE" w:rsidP="00AD0DCE">
      <w:pPr>
        <w:rPr>
          <w:rFonts w:eastAsia="Times New Roman" w:cstheme="minorHAnsi"/>
        </w:rPr>
      </w:pPr>
    </w:p>
    <w:p w14:paraId="68E2AFE5" w14:textId="77777777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REPUBLIKA HRVATSKA</w:t>
      </w:r>
    </w:p>
    <w:p w14:paraId="5B82C17A" w14:textId="77777777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BJELOVARSKO-BILOGORSKA ŽUPANIJA</w:t>
      </w:r>
    </w:p>
    <w:p w14:paraId="424544A1" w14:textId="77777777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GRAD GAREŠNICA</w:t>
      </w:r>
    </w:p>
    <w:p w14:paraId="7666B01F" w14:textId="77777777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GRADONAČELNIK</w:t>
      </w:r>
    </w:p>
    <w:p w14:paraId="5C7F9B15" w14:textId="77777777" w:rsidR="00AD0DCE" w:rsidRPr="007E1B4A" w:rsidRDefault="00AD0DCE" w:rsidP="00AD0DCE">
      <w:pPr>
        <w:rPr>
          <w:rFonts w:eastAsia="Times New Roman" w:cstheme="minorHAnsi"/>
        </w:rPr>
      </w:pPr>
      <w:r w:rsidRPr="007E1B4A">
        <w:rPr>
          <w:rFonts w:eastAsia="Times New Roman" w:cstheme="minorHAnsi"/>
          <w:color w:val="000000"/>
          <w:lang w:eastAsia="hr-HR"/>
        </w:rPr>
        <w:tab/>
      </w:r>
      <w:r w:rsidRPr="007E1B4A">
        <w:rPr>
          <w:rFonts w:eastAsia="Times New Roman" w:cstheme="minorHAnsi"/>
          <w:color w:val="000000"/>
          <w:lang w:eastAsia="hr-HR"/>
        </w:rPr>
        <w:tab/>
      </w:r>
      <w:r w:rsidRPr="007E1B4A">
        <w:rPr>
          <w:rFonts w:eastAsia="Times New Roman" w:cstheme="minorHAnsi"/>
          <w:color w:val="000000"/>
          <w:lang w:eastAsia="hr-HR"/>
        </w:rPr>
        <w:tab/>
      </w:r>
    </w:p>
    <w:p w14:paraId="266D5E5B" w14:textId="0BC743C2" w:rsidR="00AD0DCE" w:rsidRPr="007E1B4A" w:rsidRDefault="00AD0DCE" w:rsidP="00AD0DCE">
      <w:pPr>
        <w:rPr>
          <w:rFonts w:cstheme="minorHAnsi"/>
        </w:rPr>
      </w:pPr>
      <w:r w:rsidRPr="007E1B4A">
        <w:rPr>
          <w:rFonts w:eastAsia="Times New Roman" w:cstheme="minorHAnsi"/>
          <w:color w:val="000000"/>
          <w:lang w:eastAsia="hr-HR"/>
        </w:rPr>
        <w:t>KLASA:  940-01/2</w:t>
      </w:r>
      <w:r>
        <w:rPr>
          <w:rFonts w:eastAsia="Times New Roman" w:cstheme="minorHAnsi"/>
          <w:color w:val="000000"/>
          <w:lang w:eastAsia="hr-HR"/>
        </w:rPr>
        <w:t>5</w:t>
      </w:r>
      <w:r w:rsidRPr="007E1B4A">
        <w:rPr>
          <w:rFonts w:eastAsia="Times New Roman" w:cstheme="minorHAnsi"/>
          <w:color w:val="000000"/>
          <w:lang w:eastAsia="hr-HR"/>
        </w:rPr>
        <w:t>-01/</w:t>
      </w:r>
      <w:r>
        <w:rPr>
          <w:rFonts w:eastAsia="Times New Roman" w:cstheme="minorHAnsi"/>
          <w:color w:val="000000"/>
          <w:lang w:eastAsia="hr-HR"/>
        </w:rPr>
        <w:t>12</w:t>
      </w:r>
    </w:p>
    <w:p w14:paraId="4CC987D9" w14:textId="39C1CB72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color w:val="000000"/>
          <w:lang w:eastAsia="hr-HR"/>
        </w:rPr>
        <w:t>URBROJ: 2103-4-02-2</w:t>
      </w:r>
      <w:r>
        <w:rPr>
          <w:rFonts w:eastAsia="Times New Roman" w:cstheme="minorHAnsi"/>
          <w:color w:val="000000"/>
          <w:lang w:eastAsia="hr-HR"/>
        </w:rPr>
        <w:t>5</w:t>
      </w:r>
      <w:r w:rsidRPr="007E1B4A">
        <w:rPr>
          <w:rFonts w:eastAsia="Times New Roman" w:cstheme="minorHAnsi"/>
          <w:color w:val="000000"/>
          <w:lang w:eastAsia="hr-HR"/>
        </w:rPr>
        <w:t>-</w:t>
      </w:r>
      <w:r>
        <w:rPr>
          <w:rFonts w:eastAsia="Times New Roman" w:cstheme="minorHAnsi"/>
          <w:color w:val="000000"/>
          <w:lang w:eastAsia="hr-HR"/>
        </w:rPr>
        <w:t>2</w:t>
      </w:r>
    </w:p>
    <w:p w14:paraId="6A6D71E9" w14:textId="4FA3FDA1" w:rsidR="00AD0DCE" w:rsidRPr="007E1B4A" w:rsidRDefault="00AD0DCE" w:rsidP="00AD0DCE">
      <w:pPr>
        <w:rPr>
          <w:rFonts w:eastAsia="Times New Roman" w:cstheme="minorHAnsi"/>
          <w:color w:val="000000"/>
          <w:lang w:eastAsia="hr-HR"/>
        </w:rPr>
      </w:pPr>
      <w:r w:rsidRPr="007E1B4A">
        <w:rPr>
          <w:rFonts w:eastAsia="Times New Roman" w:cstheme="minorHAnsi"/>
          <w:lang w:eastAsia="hr-HR"/>
        </w:rPr>
        <w:t xml:space="preserve">Garešnica, </w:t>
      </w:r>
      <w:r>
        <w:rPr>
          <w:rFonts w:eastAsia="Times New Roman" w:cstheme="minorHAnsi"/>
          <w:color w:val="000000"/>
          <w:lang w:eastAsia="hr-HR"/>
        </w:rPr>
        <w:t>17</w:t>
      </w:r>
      <w:r w:rsidRPr="007E1B4A">
        <w:rPr>
          <w:rFonts w:eastAsia="Times New Roman" w:cstheme="minorHAnsi"/>
          <w:color w:val="000000"/>
          <w:lang w:eastAsia="hr-HR"/>
        </w:rPr>
        <w:t>.0</w:t>
      </w:r>
      <w:r>
        <w:rPr>
          <w:rFonts w:eastAsia="Times New Roman" w:cstheme="minorHAnsi"/>
          <w:color w:val="000000"/>
          <w:lang w:eastAsia="hr-HR"/>
        </w:rPr>
        <w:t>3</w:t>
      </w:r>
      <w:r w:rsidRPr="007E1B4A">
        <w:rPr>
          <w:rFonts w:eastAsia="Times New Roman" w:cstheme="minorHAnsi"/>
          <w:color w:val="000000"/>
          <w:lang w:eastAsia="hr-HR"/>
        </w:rPr>
        <w:t>.202</w:t>
      </w:r>
      <w:r>
        <w:rPr>
          <w:rFonts w:eastAsia="Times New Roman" w:cstheme="minorHAnsi"/>
          <w:color w:val="000000"/>
          <w:lang w:eastAsia="hr-HR"/>
        </w:rPr>
        <w:t>5</w:t>
      </w:r>
      <w:r w:rsidRPr="007E1B4A">
        <w:rPr>
          <w:rFonts w:eastAsia="Times New Roman" w:cstheme="minorHAnsi"/>
          <w:color w:val="000000"/>
          <w:lang w:eastAsia="hr-HR"/>
        </w:rPr>
        <w:t>.</w:t>
      </w:r>
    </w:p>
    <w:p w14:paraId="03B7EEEF" w14:textId="77777777" w:rsidR="00AD0DCE" w:rsidRPr="007E1B4A" w:rsidRDefault="00AD0DCE" w:rsidP="00AD0DCE">
      <w:pPr>
        <w:rPr>
          <w:rFonts w:cstheme="minorHAnsi"/>
        </w:rPr>
      </w:pPr>
    </w:p>
    <w:p w14:paraId="425600E5" w14:textId="77777777" w:rsidR="00AD0DCE" w:rsidRPr="007E1B4A" w:rsidRDefault="00AD0DCE" w:rsidP="00AD0DCE">
      <w:pPr>
        <w:rPr>
          <w:rFonts w:eastAsia="Times New Roman" w:cstheme="minorHAnsi"/>
          <w:noProof/>
          <w:sz w:val="24"/>
          <w:szCs w:val="24"/>
          <w:lang w:eastAsia="hr-HR"/>
        </w:rPr>
      </w:pPr>
      <w:bookmarkStart w:id="1" w:name="_Hlk140051779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Temeljem odredbe članka 8. stavka 1. Odluke o gospodarenju nekretninama u vlasništvu Grada Garešnice </w:t>
      </w:r>
      <w:bookmarkStart w:id="2" w:name="_Hlk19095561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(„Službeni glasnik Grada Garešnice“, broj </w:t>
      </w:r>
      <w:bookmarkEnd w:id="2"/>
      <w:r w:rsidRPr="007E1B4A">
        <w:rPr>
          <w:rFonts w:eastAsia="Times New Roman" w:cstheme="minorHAnsi"/>
          <w:noProof/>
          <w:sz w:val="24"/>
          <w:szCs w:val="24"/>
          <w:lang w:eastAsia="hr-HR"/>
        </w:rPr>
        <w:t>2/12, 3/14 i 6/22) i članka 53. Statuta Grada Garešnice (</w:t>
      </w:r>
      <w:bookmarkStart w:id="3" w:name="_Hlk19092843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„Službeni glasnik Grada Garešnice“, </w:t>
      </w:r>
      <w:bookmarkEnd w:id="3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2/21), gradonačelnik Grada Garešnice donosi </w:t>
      </w:r>
    </w:p>
    <w:p w14:paraId="786D2243" w14:textId="77777777" w:rsidR="00AD0DCE" w:rsidRPr="007E1B4A" w:rsidRDefault="00AD0DCE" w:rsidP="00AD0DCE">
      <w:pPr>
        <w:ind w:firstLine="709"/>
        <w:rPr>
          <w:rFonts w:eastAsia="Times New Roman" w:cstheme="minorHAnsi"/>
          <w:noProof/>
          <w:sz w:val="26"/>
          <w:szCs w:val="26"/>
          <w:lang w:eastAsia="hr-HR"/>
        </w:rPr>
      </w:pPr>
    </w:p>
    <w:p w14:paraId="0DC852B6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6"/>
          <w:szCs w:val="26"/>
          <w:lang w:eastAsia="hr-HR"/>
        </w:rPr>
        <w:t>O D L U K U</w:t>
      </w:r>
    </w:p>
    <w:p w14:paraId="5919D905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6"/>
          <w:szCs w:val="26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6"/>
          <w:szCs w:val="26"/>
          <w:lang w:eastAsia="hr-HR"/>
        </w:rPr>
        <w:t>o prodaji nekretnina u vlasništvu Grada Garešnice</w:t>
      </w:r>
    </w:p>
    <w:p w14:paraId="4FA78AE7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6988A3F2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I.</w:t>
      </w:r>
    </w:p>
    <w:p w14:paraId="3A066790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22BFC154" w14:textId="77777777" w:rsidR="00AD0DCE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Grad Garešnica prodat će putem javnog natječaja </w:t>
      </w:r>
      <w:bookmarkStart w:id="4" w:name="_Hlk140052168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slijedeće nekretnine: </w:t>
      </w:r>
    </w:p>
    <w:p w14:paraId="5020AB58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16867F7" w14:textId="1A12EE6A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1.</w:t>
      </w:r>
      <w:r w:rsidR="00C35EFB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nekretnina upisana u zk.ul.br. </w:t>
      </w: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404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k.o. </w:t>
      </w: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Dišnik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:</w:t>
      </w:r>
    </w:p>
    <w:p w14:paraId="0D694E44" w14:textId="74FC945D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>695/16 laktofriz</w:t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>10 čhv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</w:p>
    <w:p w14:paraId="1BEC50E2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53E7C132" w14:textId="1AD9876E" w:rsidR="00AD0DCE" w:rsidRPr="007E1B4A" w:rsidRDefault="00AD0DCE" w:rsidP="009A0F1B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5" w:name="_Hlk116645432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nekretninu navedenu pod rednim brojem 1. </w:t>
      </w:r>
      <w:bookmarkEnd w:id="5"/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iznosi: </w:t>
      </w: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1.650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,00  EUR-a.</w:t>
      </w:r>
    </w:p>
    <w:p w14:paraId="7CEB85DC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727B3BEF" w14:textId="7FA43B26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2. </w:t>
      </w:r>
      <w:r w:rsidR="00C35EFB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nekretnin</w:t>
      </w:r>
      <w:r w:rsidR="00C35EFB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a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upisane u zk.ul.br.</w:t>
      </w:r>
      <w:r w:rsidR="00C35EFB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870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k.o. </w:t>
      </w: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Garešnica – centar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:</w:t>
      </w:r>
    </w:p>
    <w:p w14:paraId="1D7BFDE3" w14:textId="21592C13" w:rsidR="00C35EFB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990 Kralja Tvrtka, dvorište </w:t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>6</w:t>
      </w:r>
      <w:r w:rsidR="00372424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="00C35EFB">
        <w:rPr>
          <w:rFonts w:eastAsia="Times New Roman" w:cstheme="minorHAnsi"/>
          <w:noProof/>
          <w:sz w:val="24"/>
          <w:szCs w:val="24"/>
          <w:lang w:eastAsia="hr-HR"/>
        </w:rPr>
        <w:t>0 m</w:t>
      </w:r>
      <w:r w:rsidR="00C35EFB">
        <w:rPr>
          <w:rFonts w:eastAsia="Times New Roman" w:cstheme="minorHAnsi"/>
          <w:noProof/>
          <w:sz w:val="24"/>
          <w:szCs w:val="24"/>
          <w:vertAlign w:val="superscript"/>
          <w:lang w:eastAsia="hr-HR"/>
        </w:rPr>
        <w:t>2</w:t>
      </w:r>
    </w:p>
    <w:p w14:paraId="2D9A0856" w14:textId="77777777" w:rsidR="00372424" w:rsidRDefault="00C35EFB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nekretnina upisane u zk.ul.br. </w:t>
      </w:r>
      <w:r w:rsidR="00372424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869 k.o. Garešnica – centar: </w:t>
      </w:r>
    </w:p>
    <w:p w14:paraId="36F67BAA" w14:textId="57C28538" w:rsidR="00AD0DCE" w:rsidRPr="007E1B4A" w:rsidRDefault="00372424" w:rsidP="00CD3CB1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 xml:space="preserve">k.č.br. </w:t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ab/>
        <w:t>989 Kralja Tvrtka, dvorište</w:t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9A0F1B">
        <w:rPr>
          <w:rFonts w:eastAsia="Times New Roman" w:cstheme="minorHAnsi"/>
          <w:noProof/>
          <w:sz w:val="24"/>
          <w:szCs w:val="24"/>
          <w:lang w:eastAsia="hr-HR"/>
        </w:rPr>
        <w:tab/>
      </w:r>
      <w:r>
        <w:rPr>
          <w:rFonts w:eastAsia="Times New Roman" w:cstheme="minorHAnsi"/>
          <w:noProof/>
          <w:sz w:val="24"/>
          <w:szCs w:val="24"/>
          <w:lang w:eastAsia="hr-HR"/>
        </w:rPr>
        <w:t>474 m</w:t>
      </w:r>
      <w:r>
        <w:rPr>
          <w:rFonts w:eastAsia="Times New Roman" w:cstheme="minorHAnsi"/>
          <w:noProof/>
          <w:sz w:val="24"/>
          <w:szCs w:val="24"/>
          <w:vertAlign w:val="superscript"/>
          <w:lang w:eastAsia="hr-HR"/>
        </w:rPr>
        <w:t>2</w:t>
      </w:r>
      <w:r w:rsidR="00AD0DCE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AD0DCE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AD0DCE"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="00AD0DCE"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AD0DCE"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28F304FF" w14:textId="77777777" w:rsidR="00AD0DCE" w:rsidRPr="007E1B4A" w:rsidRDefault="00AD0DCE" w:rsidP="00AD0DCE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Navedene čestice prodat će se kao jedna cjelina.</w:t>
      </w:r>
    </w:p>
    <w:p w14:paraId="0E13751E" w14:textId="2E02E8D6" w:rsidR="00AD0DCE" w:rsidRPr="007E1B4A" w:rsidRDefault="00AD0DCE" w:rsidP="00AD0DCE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nekretnine pod rednim brojem 2. iznosi: </w:t>
      </w:r>
      <w:r w:rsidR="00372424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12.285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,00 EUR-a.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            </w:t>
      </w:r>
    </w:p>
    <w:p w14:paraId="1B80C882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6" w:name="_Hlk117061236"/>
      <w:bookmarkEnd w:id="4"/>
    </w:p>
    <w:p w14:paraId="3698D714" w14:textId="5C0AD23C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3. nekretnina upisana u zk. ul.br. </w:t>
      </w:r>
      <w:r w:rsidR="008E7744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179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k.o. Garešnica  - centar, </w:t>
      </w:r>
    </w:p>
    <w:p w14:paraId="207FE86B" w14:textId="1BBDC5B9" w:rsidR="00AD0DCE" w:rsidRPr="008E7744" w:rsidRDefault="00AD0DCE" w:rsidP="00AD0DCE">
      <w:pPr>
        <w:widowControl w:val="0"/>
        <w:autoSpaceDE w:val="0"/>
        <w:autoSpaceDN w:val="0"/>
        <w:adjustRightInd w:val="0"/>
        <w:ind w:left="2552" w:hanging="1843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k.č.br. 616           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>187/2 Garešnica, Vladimira Nazora, dvorište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ab/>
        <w:t>104 m</w:t>
      </w:r>
      <w:r w:rsidR="008E7744">
        <w:rPr>
          <w:rFonts w:eastAsia="Times New Roman" w:cstheme="minorHAnsi"/>
          <w:noProof/>
          <w:sz w:val="24"/>
          <w:szCs w:val="24"/>
          <w:vertAlign w:val="superscript"/>
          <w:lang w:eastAsia="hr-HR"/>
        </w:rPr>
        <w:t>2</w:t>
      </w:r>
    </w:p>
    <w:p w14:paraId="660415A7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5BF9E21" w14:textId="10C803FC" w:rsidR="00AD0DCE" w:rsidRPr="007E1B4A" w:rsidRDefault="00AD0DCE" w:rsidP="009A0F1B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Početna cijena za nekretninu navedenu pod rednim brojem 3. iznosi: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</w:t>
      </w:r>
      <w:r w:rsidR="008E7744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1.</w:t>
      </w:r>
      <w:r w:rsidR="00785F4F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39</w:t>
      </w:r>
      <w:r w:rsidR="008E7744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5</w:t>
      </w: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,00 EUR-a.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</w:p>
    <w:p w14:paraId="6322387E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color w:val="FF0000"/>
          <w:sz w:val="24"/>
          <w:szCs w:val="24"/>
          <w:lang w:eastAsia="hr-HR"/>
        </w:rPr>
      </w:pPr>
    </w:p>
    <w:p w14:paraId="2071083B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bookmarkEnd w:id="6"/>
    <w:p w14:paraId="2B5582DF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II.</w:t>
      </w:r>
    </w:p>
    <w:p w14:paraId="0A8A6AC6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7B2EE586" w14:textId="77777777" w:rsidR="00AD0DCE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Na temelju ove Odluke gradonačelnik Grada Garešnice raspisat će javni natječaj. </w:t>
      </w:r>
    </w:p>
    <w:p w14:paraId="08585159" w14:textId="77777777" w:rsidR="008E7744" w:rsidRPr="007E1B4A" w:rsidRDefault="008E7744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1283D57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FC60F98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III.</w:t>
      </w:r>
    </w:p>
    <w:p w14:paraId="3C50FDA8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A1FDBCB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Pravo sudjelovanja na ovom javnom natječaju imaju fizičke i pravne osobe koje prema važećim propisima mogu biti nositelji prava vlasništva nekretnina na području Republike Hrvatske.</w:t>
      </w:r>
    </w:p>
    <w:p w14:paraId="033FB259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DA9AB44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IV.</w:t>
      </w:r>
    </w:p>
    <w:p w14:paraId="311C2C9E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20E87CDF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Poslove oko provedbe ove Odluke, objave natječaja, pripreme dokumentacije, prikupljanja, otvaranja i ocjene pristiglih ponuda te sve ostale poslove u vezi s javnim natječajem obavljat će Povjerenstvo za provedbu natječaja za prodaju nekretnina u vlasništvu Grada Garešnice (dalje u tekstu: Povjerenstvo).</w:t>
      </w:r>
    </w:p>
    <w:p w14:paraId="120B37D4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Za članove povjerenstva imenuju se: 1. Josip Vacek, predsjednik</w:t>
      </w:r>
    </w:p>
    <w:p w14:paraId="53697810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2. Adela Labaš, član</w:t>
      </w:r>
    </w:p>
    <w:p w14:paraId="102FD28F" w14:textId="14036ED6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3.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 xml:space="preserve"> Ana Elena Troha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>, član.</w:t>
      </w:r>
    </w:p>
    <w:p w14:paraId="15AD7C23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3B80096E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>Administrativne poslove za Povjerenstvo obavlja Upravni odjel za društvene djelatnosti, imovinu i opće poslove Grada Garešnice.</w:t>
      </w:r>
    </w:p>
    <w:p w14:paraId="39F69C13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44CE59F2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V.</w:t>
      </w:r>
    </w:p>
    <w:p w14:paraId="3B5D78F9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BF6BD0E" w14:textId="163B5421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Javni natječaj objaviti će se na oglasnoj ploči i 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>na službenoj internetskoj stranici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 Grada Garešnice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13BF7856" w14:textId="27E8FC40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Kao dan objave natječaja uzima se dan objave natječaja na </w:t>
      </w:r>
      <w:r w:rsidR="008E7744">
        <w:rPr>
          <w:rFonts w:eastAsia="Times New Roman" w:cstheme="minorHAnsi"/>
          <w:noProof/>
          <w:sz w:val="24"/>
          <w:szCs w:val="24"/>
          <w:lang w:eastAsia="hr-HR"/>
        </w:rPr>
        <w:t xml:space="preserve">internetskoj stranici </w:t>
      </w:r>
      <w:r w:rsidRPr="007E1B4A">
        <w:rPr>
          <w:rFonts w:eastAsia="Times New Roman" w:cstheme="minorHAnsi"/>
          <w:noProof/>
          <w:sz w:val="24"/>
          <w:szCs w:val="24"/>
          <w:lang w:eastAsia="hr-HR"/>
        </w:rPr>
        <w:t>Grada Garešnice www.garesnica.eu.</w:t>
      </w:r>
    </w:p>
    <w:p w14:paraId="33784233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279078E5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VI.</w:t>
      </w:r>
    </w:p>
    <w:p w14:paraId="6C7A9EEA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372F59EA" w14:textId="7BC03106" w:rsidR="00AD0DCE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7E1B4A">
        <w:rPr>
          <w:rFonts w:eastAsia="Times New Roman" w:cstheme="minorHAnsi"/>
          <w:noProof/>
          <w:sz w:val="24"/>
          <w:szCs w:val="24"/>
          <w:lang w:eastAsia="hr-HR"/>
        </w:rPr>
        <w:t xml:space="preserve">Ova Odluka </w:t>
      </w:r>
      <w:r w:rsidR="002C190D">
        <w:rPr>
          <w:rFonts w:eastAsia="Times New Roman" w:cstheme="minorHAnsi"/>
          <w:noProof/>
          <w:sz w:val="24"/>
          <w:szCs w:val="24"/>
          <w:lang w:eastAsia="hr-HR"/>
        </w:rPr>
        <w:t>objavit će na na službenoj internetskoj stranici Grada Garešnice.</w:t>
      </w:r>
    </w:p>
    <w:p w14:paraId="1D00811C" w14:textId="77777777" w:rsidR="002C190D" w:rsidRPr="007E1B4A" w:rsidRDefault="002C190D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2E9936DB" w14:textId="77777777" w:rsidR="00AD0DCE" w:rsidRPr="007E1B4A" w:rsidRDefault="00AD0DCE" w:rsidP="00AD0DCE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</w:t>
      </w:r>
    </w:p>
    <w:p w14:paraId="46DA4906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GRADONAČELNIK          </w:t>
      </w:r>
    </w:p>
    <w:p w14:paraId="3F304060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</w:t>
      </w:r>
    </w:p>
    <w:p w14:paraId="39226A82" w14:textId="77777777" w:rsidR="00AD0DCE" w:rsidRPr="007E1B4A" w:rsidRDefault="00AD0DCE" w:rsidP="00AD0DCE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7E1B4A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Josip Bilandžija, dipl. ing. šum.</w:t>
      </w:r>
    </w:p>
    <w:bookmarkEnd w:id="1"/>
    <w:p w14:paraId="785CC993" w14:textId="77777777" w:rsidR="00AD0DCE" w:rsidRPr="007E1B4A" w:rsidRDefault="00AD0DCE" w:rsidP="00AD0DCE">
      <w:pPr>
        <w:rPr>
          <w:rFonts w:cstheme="minorHAnsi"/>
          <w:sz w:val="24"/>
          <w:szCs w:val="24"/>
        </w:rPr>
      </w:pPr>
    </w:p>
    <w:p w14:paraId="2A829A39" w14:textId="1AAE1021" w:rsidR="000328EA" w:rsidRPr="008E27F9" w:rsidRDefault="000328EA" w:rsidP="00AD0DCE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bookmarkEnd w:id="0"/>
    <w:p w14:paraId="107387D6" w14:textId="77777777" w:rsidR="00A8352C" w:rsidRPr="008E27F9" w:rsidRDefault="00A8352C">
      <w:pPr>
        <w:rPr>
          <w:rFonts w:cstheme="minorHAnsi"/>
        </w:rPr>
      </w:pPr>
    </w:p>
    <w:sectPr w:rsidR="00A8352C" w:rsidRPr="008E27F9" w:rsidSect="0014488D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BFEE" w14:textId="77777777" w:rsidR="00021B89" w:rsidRDefault="00021B89">
      <w:r>
        <w:separator/>
      </w:r>
    </w:p>
  </w:endnote>
  <w:endnote w:type="continuationSeparator" w:id="0">
    <w:p w14:paraId="0CBD10BC" w14:textId="77777777" w:rsidR="00021B89" w:rsidRDefault="0002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490066"/>
      <w:docPartObj>
        <w:docPartGallery w:val="Page Numbers (Bottom of Page)"/>
        <w:docPartUnique/>
      </w:docPartObj>
    </w:sdtPr>
    <w:sdtEndPr/>
    <w:sdtContent>
      <w:p w14:paraId="49877A0F" w14:textId="77777777" w:rsidR="00D91E01" w:rsidRDefault="00F76F9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26C1C" w14:textId="77777777" w:rsidR="00D91E01" w:rsidRDefault="00D91E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4A51" w14:textId="77777777" w:rsidR="00021B89" w:rsidRDefault="00021B89">
      <w:r>
        <w:separator/>
      </w:r>
    </w:p>
  </w:footnote>
  <w:footnote w:type="continuationSeparator" w:id="0">
    <w:p w14:paraId="001C7D82" w14:textId="77777777" w:rsidR="00021B89" w:rsidRDefault="00021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2C"/>
    <w:rsid w:val="00001E38"/>
    <w:rsid w:val="00021B89"/>
    <w:rsid w:val="000328EA"/>
    <w:rsid w:val="000A1D86"/>
    <w:rsid w:val="0014488D"/>
    <w:rsid w:val="001840C1"/>
    <w:rsid w:val="002057B0"/>
    <w:rsid w:val="00206C35"/>
    <w:rsid w:val="002178A8"/>
    <w:rsid w:val="00245651"/>
    <w:rsid w:val="002479F3"/>
    <w:rsid w:val="002C190D"/>
    <w:rsid w:val="002E112C"/>
    <w:rsid w:val="00334203"/>
    <w:rsid w:val="00372424"/>
    <w:rsid w:val="003D1560"/>
    <w:rsid w:val="003F44ED"/>
    <w:rsid w:val="00586DEE"/>
    <w:rsid w:val="005C62D6"/>
    <w:rsid w:val="005F0927"/>
    <w:rsid w:val="006969B7"/>
    <w:rsid w:val="006C7EE4"/>
    <w:rsid w:val="007210E6"/>
    <w:rsid w:val="0075517D"/>
    <w:rsid w:val="00785F4F"/>
    <w:rsid w:val="00827564"/>
    <w:rsid w:val="008E27F9"/>
    <w:rsid w:val="008E7744"/>
    <w:rsid w:val="009A0F1B"/>
    <w:rsid w:val="009B4B00"/>
    <w:rsid w:val="00A8352C"/>
    <w:rsid w:val="00AD0DCE"/>
    <w:rsid w:val="00B616FE"/>
    <w:rsid w:val="00B86533"/>
    <w:rsid w:val="00BA11EE"/>
    <w:rsid w:val="00C150B5"/>
    <w:rsid w:val="00C35EFB"/>
    <w:rsid w:val="00CB1BF7"/>
    <w:rsid w:val="00CD3CB1"/>
    <w:rsid w:val="00CF7B1B"/>
    <w:rsid w:val="00D807FF"/>
    <w:rsid w:val="00D91E01"/>
    <w:rsid w:val="00E268CA"/>
    <w:rsid w:val="00E50156"/>
    <w:rsid w:val="00EB5B7C"/>
    <w:rsid w:val="00EC133C"/>
    <w:rsid w:val="00F7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6EF"/>
  <w15:chartTrackingRefBased/>
  <w15:docId w15:val="{C24BF612-7537-4436-B2E3-ABC4F146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E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328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328EA"/>
    <w:rPr>
      <w:kern w:val="0"/>
      <w14:ligatures w14:val="none"/>
    </w:rPr>
  </w:style>
  <w:style w:type="table" w:styleId="Reetkatablice">
    <w:name w:val="Table Grid"/>
    <w:basedOn w:val="Obinatablica"/>
    <w:uiPriority w:val="39"/>
    <w:rsid w:val="003D1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3D156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Ana Elena Troha</cp:lastModifiedBy>
  <cp:revision>22</cp:revision>
  <dcterms:created xsi:type="dcterms:W3CDTF">2024-03-05T11:53:00Z</dcterms:created>
  <dcterms:modified xsi:type="dcterms:W3CDTF">2025-03-18T09:25:00Z</dcterms:modified>
</cp:coreProperties>
</file>